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rPr>
          <w:rFonts w:ascii="Times New Roman"/>
          <w:sz w:val="19"/>
        </w:rPr>
      </w:pPr>
    </w:p>
    <w:p>
      <w:pPr>
        <w:pStyle w:val="Title"/>
      </w:pPr>
      <w:r>
        <w:rPr>
          <w:spacing w:val="-2"/>
        </w:rPr>
        <w:t>中華民國撞球總會</w:t>
      </w:r>
    </w:p>
    <w:p>
      <w:pPr>
        <w:spacing w:before="768"/>
        <w:ind w:left="3038" w:right="3077" w:firstLine="0"/>
        <w:jc w:val="center"/>
        <w:rPr>
          <w:sz w:val="56"/>
        </w:rPr>
      </w:pPr>
      <w:bookmarkStart w:name="中長程計畫" w:id="1"/>
      <w:bookmarkEnd w:id="1"/>
      <w:r>
        <w:rPr/>
      </w:r>
      <w:r>
        <w:rPr>
          <w:color w:val="5C432B"/>
          <w:spacing w:val="-2"/>
          <w:sz w:val="56"/>
        </w:rPr>
        <w:t>中長程計畫</w:t>
      </w:r>
    </w:p>
    <w:p>
      <w:pPr>
        <w:spacing w:before="107"/>
        <w:ind w:left="3038" w:right="3077" w:firstLine="0"/>
        <w:jc w:val="center"/>
        <w:rPr>
          <w:rFonts w:ascii="PMingLiU" w:eastAsia="PMingLiU" w:hint="eastAsia"/>
          <w:sz w:val="56"/>
        </w:rPr>
      </w:pPr>
      <w:r>
        <w:rPr>
          <w:rFonts w:ascii="PMingLiU" w:eastAsia="PMingLiU" w:hint="eastAsia"/>
          <w:color w:val="444444"/>
          <w:spacing w:val="-4"/>
          <w:sz w:val="56"/>
        </w:rPr>
        <w:t>2022-2030</w:t>
      </w:r>
      <w:r>
        <w:rPr>
          <w:rFonts w:ascii="PMingLiU" w:eastAsia="PMingLiU" w:hint="eastAsia"/>
          <w:color w:val="444444"/>
          <w:spacing w:val="-10"/>
          <w:sz w:val="56"/>
        </w:rPr>
        <w:t>年</w:t>
      </w:r>
    </w:p>
    <w:p>
      <w:pPr>
        <w:pStyle w:val="BodyText"/>
        <w:ind w:left="0"/>
        <w:rPr>
          <w:rFonts w:ascii="PMingLiU"/>
          <w:sz w:val="20"/>
        </w:rPr>
      </w:pPr>
    </w:p>
    <w:p>
      <w:pPr>
        <w:pStyle w:val="BodyText"/>
        <w:ind w:left="0"/>
        <w:rPr>
          <w:rFonts w:ascii="PMingLiU"/>
          <w:sz w:val="20"/>
        </w:rPr>
      </w:pPr>
    </w:p>
    <w:p>
      <w:pPr>
        <w:pStyle w:val="BodyText"/>
        <w:ind w:left="0"/>
        <w:rPr>
          <w:rFonts w:ascii="PMingLiU"/>
          <w:sz w:val="20"/>
        </w:rPr>
      </w:pPr>
    </w:p>
    <w:p>
      <w:pPr>
        <w:pStyle w:val="BodyText"/>
        <w:ind w:left="0"/>
        <w:rPr>
          <w:rFonts w:ascii="PMingLiU"/>
          <w:sz w:val="20"/>
        </w:rPr>
      </w:pPr>
    </w:p>
    <w:p>
      <w:pPr>
        <w:pStyle w:val="BodyText"/>
        <w:ind w:left="0"/>
        <w:rPr>
          <w:rFonts w:ascii="PMingLiU"/>
          <w:sz w:val="20"/>
        </w:rPr>
      </w:pPr>
    </w:p>
    <w:p>
      <w:pPr>
        <w:pStyle w:val="BodyText"/>
        <w:spacing w:before="13"/>
        <w:ind w:left="0"/>
        <w:rPr>
          <w:rFonts w:ascii="PMingLiU"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2766859</wp:posOffset>
            </wp:positionH>
            <wp:positionV relativeFrom="paragraph">
              <wp:posOffset>210461</wp:posOffset>
            </wp:positionV>
            <wp:extent cx="1825268" cy="178308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268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PMingLiU"/>
          <w:sz w:val="21"/>
        </w:rPr>
        <w:sectPr>
          <w:footerReference w:type="default" r:id="rId5"/>
          <w:type w:val="continuous"/>
          <w:pgSz w:w="11900" w:h="16840"/>
          <w:pgMar w:footer="800" w:header="0" w:top="1940" w:bottom="1000" w:left="1340" w:right="1300"/>
          <w:pgNumType w:start="1"/>
        </w:sectPr>
      </w:pPr>
    </w:p>
    <w:p>
      <w:pPr>
        <w:spacing w:line="667" w:lineRule="exact" w:before="0"/>
        <w:ind w:left="2929" w:right="0" w:firstLine="0"/>
        <w:jc w:val="left"/>
        <w:rPr>
          <w:b/>
          <w:sz w:val="37"/>
        </w:rPr>
      </w:pPr>
      <w:r>
        <w:rPr>
          <w:b/>
          <w:color w:val="373737"/>
          <w:spacing w:val="-2"/>
          <w:sz w:val="37"/>
        </w:rPr>
        <w:t>壹、本會組織及任期</w:t>
      </w:r>
    </w:p>
    <w:p>
      <w:pPr>
        <w:pStyle w:val="BodyText"/>
        <w:spacing w:line="515" w:lineRule="exact" w:before="82"/>
      </w:pPr>
      <w:r>
        <w:rPr>
          <w:color w:val="373737"/>
        </w:rPr>
        <w:t>新任會長趙豐邦，於</w:t>
      </w:r>
      <w:r>
        <w:rPr>
          <w:rFonts w:ascii="Times New Roman" w:eastAsia="Times New Roman"/>
          <w:color w:val="373737"/>
        </w:rPr>
        <w:t>2022</w:t>
      </w:r>
      <w:r>
        <w:rPr>
          <w:color w:val="373737"/>
        </w:rPr>
        <w:t>年經選舉為新任會長，任期於</w:t>
      </w:r>
      <w:r>
        <w:rPr>
          <w:rFonts w:ascii="Times New Roman" w:eastAsia="Times New Roman"/>
          <w:color w:val="373737"/>
        </w:rPr>
        <w:t>2022</w:t>
      </w:r>
      <w:r>
        <w:rPr>
          <w:color w:val="373737"/>
          <w:spacing w:val="-5"/>
        </w:rPr>
        <w:t>年至</w:t>
      </w:r>
    </w:p>
    <w:p>
      <w:pPr>
        <w:pStyle w:val="BodyText"/>
        <w:spacing w:line="515" w:lineRule="exact"/>
      </w:pPr>
      <w:r>
        <w:rPr>
          <w:rFonts w:ascii="Times New Roman" w:eastAsia="Times New Roman"/>
          <w:color w:val="373737"/>
        </w:rPr>
        <w:t>2026</w:t>
      </w:r>
      <w:r>
        <w:rPr>
          <w:color w:val="373737"/>
          <w:spacing w:val="-1"/>
        </w:rPr>
        <w:t>年⽌，此次團隊經選舉結果為：</w:t>
      </w:r>
    </w:p>
    <w:p>
      <w:pPr>
        <w:pStyle w:val="BodyText"/>
        <w:spacing w:before="90"/>
      </w:pPr>
      <w:r>
        <w:rPr>
          <w:color w:val="373737"/>
          <w:spacing w:val="-2"/>
        </w:rPr>
        <w:t>會長：趙豐邦</w:t>
      </w:r>
    </w:p>
    <w:p>
      <w:pPr>
        <w:pStyle w:val="BodyText"/>
        <w:spacing w:line="515" w:lineRule="exact" w:before="90"/>
      </w:pPr>
      <w:r>
        <w:rPr>
          <w:color w:val="373737"/>
          <w:spacing w:val="-1"/>
        </w:rPr>
        <w:t>副會長：⿈偉倫、劉俊忠、⿈振選</w:t>
      </w:r>
    </w:p>
    <w:p>
      <w:pPr>
        <w:pStyle w:val="BodyText"/>
        <w:spacing w:line="180" w:lineRule="auto" w:before="31"/>
        <w:ind w:right="199"/>
        <w:jc w:val="both"/>
      </w:pPr>
      <w:r>
        <w:rPr>
          <w:color w:val="373737"/>
          <w:spacing w:val="-2"/>
        </w:rPr>
        <w:t>林上義常務理事、鄒明德理事、李雅仁理事、柳信美理事、周婕</w:t>
      </w:r>
      <w:r>
        <w:rPr>
          <w:color w:val="373737"/>
          <w:spacing w:val="-2"/>
        </w:rPr>
        <w:t>妤理事、郭柏成理事、林君樺理事、楊要輝理事、莊村徹理事、</w:t>
      </w:r>
      <w:r>
        <w:rPr>
          <w:color w:val="373737"/>
          <w:spacing w:val="-2"/>
        </w:rPr>
        <w:t>廖玟姬理事、林廣建理事。</w:t>
      </w:r>
    </w:p>
    <w:p>
      <w:pPr>
        <w:pStyle w:val="BodyText"/>
        <w:spacing w:before="127"/>
      </w:pPr>
      <w:r>
        <w:rPr>
          <w:color w:val="373737"/>
          <w:spacing w:val="-3"/>
        </w:rPr>
        <w:t>並設有：</w:t>
      </w:r>
    </w:p>
    <w:p>
      <w:pPr>
        <w:pStyle w:val="BodyText"/>
        <w:spacing w:line="515" w:lineRule="exact" w:before="90"/>
      </w:pPr>
      <w:r>
        <w:rPr>
          <w:color w:val="373737"/>
        </w:rPr>
        <w:t>中華民國撞球總會秘書處</w:t>
      </w:r>
      <w:r>
        <w:rPr>
          <w:rFonts w:ascii="Times New Roman" w:eastAsia="Times New Roman"/>
          <w:color w:val="373737"/>
        </w:rPr>
        <w:t>/</w:t>
      </w:r>
      <w:r>
        <w:rPr>
          <w:color w:val="373737"/>
          <w:spacing w:val="-4"/>
        </w:rPr>
        <w:t>競賽組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440" w:lineRule="exact" w:before="0" w:after="0"/>
        <w:ind w:left="341" w:right="0" w:hanging="241"/>
        <w:jc w:val="left"/>
        <w:rPr>
          <w:sz w:val="32"/>
        </w:rPr>
      </w:pPr>
      <w:r>
        <w:rPr>
          <w:color w:val="373737"/>
          <w:sz w:val="32"/>
        </w:rPr>
        <w:t>選訓委員會</w:t>
      </w:r>
      <w:r>
        <w:rPr>
          <w:rFonts w:ascii="Times New Roman" w:eastAsia="Times New Roman"/>
          <w:color w:val="373737"/>
          <w:sz w:val="32"/>
        </w:rPr>
        <w:t>-</w:t>
      </w:r>
      <w:r>
        <w:rPr>
          <w:color w:val="373737"/>
          <w:spacing w:val="-2"/>
          <w:sz w:val="32"/>
        </w:rPr>
        <w:t>召集⼈吳致輝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440" w:lineRule="exact" w:before="0" w:after="0"/>
        <w:ind w:left="341" w:right="0" w:hanging="241"/>
        <w:jc w:val="left"/>
        <w:rPr>
          <w:sz w:val="32"/>
        </w:rPr>
      </w:pPr>
      <w:r>
        <w:rPr>
          <w:color w:val="373737"/>
          <w:sz w:val="32"/>
        </w:rPr>
        <w:t>教練委員會</w:t>
      </w:r>
      <w:r>
        <w:rPr>
          <w:rFonts w:ascii="Times New Roman" w:eastAsia="Times New Roman"/>
          <w:color w:val="373737"/>
          <w:sz w:val="32"/>
        </w:rPr>
        <w:t>-</w:t>
      </w:r>
      <w:r>
        <w:rPr>
          <w:color w:val="373737"/>
          <w:spacing w:val="-2"/>
          <w:sz w:val="32"/>
        </w:rPr>
        <w:t>召集⼈林啟明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440" w:lineRule="exact" w:before="0" w:after="0"/>
        <w:ind w:left="341" w:right="0" w:hanging="241"/>
        <w:jc w:val="left"/>
        <w:rPr>
          <w:sz w:val="32"/>
        </w:rPr>
      </w:pPr>
      <w:r>
        <w:rPr>
          <w:color w:val="373737"/>
          <w:sz w:val="32"/>
        </w:rPr>
        <w:t>裁判委員會</w:t>
      </w:r>
      <w:r>
        <w:rPr>
          <w:rFonts w:ascii="Times New Roman" w:eastAsia="Times New Roman"/>
          <w:color w:val="373737"/>
          <w:sz w:val="32"/>
        </w:rPr>
        <w:t>-</w:t>
      </w:r>
      <w:r>
        <w:rPr>
          <w:color w:val="373737"/>
          <w:spacing w:val="-2"/>
          <w:sz w:val="32"/>
        </w:rPr>
        <w:t>召集⼈許婷婷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440" w:lineRule="exact" w:before="0" w:after="0"/>
        <w:ind w:left="341" w:right="0" w:hanging="241"/>
        <w:jc w:val="left"/>
        <w:rPr>
          <w:sz w:val="32"/>
        </w:rPr>
      </w:pPr>
      <w:r>
        <w:rPr>
          <w:color w:val="373737"/>
          <w:sz w:val="32"/>
        </w:rPr>
        <w:t>紀律委員會</w:t>
      </w:r>
      <w:r>
        <w:rPr>
          <w:rFonts w:ascii="Times New Roman" w:eastAsia="Times New Roman"/>
          <w:color w:val="373737"/>
          <w:sz w:val="32"/>
        </w:rPr>
        <w:t>-</w:t>
      </w:r>
      <w:r>
        <w:rPr>
          <w:color w:val="373737"/>
          <w:spacing w:val="-2"/>
          <w:sz w:val="32"/>
        </w:rPr>
        <w:t>召集⼈康吉甫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440" w:lineRule="exact" w:before="0" w:after="0"/>
        <w:ind w:left="341" w:right="0" w:hanging="241"/>
        <w:jc w:val="left"/>
        <w:rPr>
          <w:sz w:val="32"/>
        </w:rPr>
      </w:pPr>
      <w:r>
        <w:rPr>
          <w:color w:val="373737"/>
          <w:sz w:val="32"/>
        </w:rPr>
        <w:t>運動員委員會</w:t>
      </w:r>
      <w:r>
        <w:rPr>
          <w:rFonts w:ascii="Times New Roman" w:eastAsia="Times New Roman"/>
          <w:color w:val="373737"/>
          <w:sz w:val="32"/>
        </w:rPr>
        <w:t>-</w:t>
      </w:r>
      <w:r>
        <w:rPr>
          <w:color w:val="373737"/>
          <w:spacing w:val="-2"/>
          <w:sz w:val="32"/>
        </w:rPr>
        <w:t>召集⼈魏⼦茜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440" w:lineRule="exact" w:before="0" w:after="0"/>
        <w:ind w:left="341" w:right="0" w:hanging="241"/>
        <w:jc w:val="left"/>
        <w:rPr>
          <w:sz w:val="32"/>
        </w:rPr>
      </w:pPr>
      <w:r>
        <w:rPr>
          <w:color w:val="373737"/>
          <w:sz w:val="32"/>
        </w:rPr>
        <w:t>申訴評議委員</w:t>
      </w:r>
      <w:r>
        <w:rPr>
          <w:rFonts w:ascii="Times New Roman" w:eastAsia="Times New Roman"/>
          <w:color w:val="373737"/>
          <w:sz w:val="32"/>
        </w:rPr>
        <w:t>-</w:t>
      </w:r>
      <w:r>
        <w:rPr>
          <w:color w:val="373737"/>
          <w:spacing w:val="-2"/>
          <w:sz w:val="32"/>
        </w:rPr>
        <w:t>集⼈謝明恆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515" w:lineRule="exact" w:before="0" w:after="0"/>
        <w:ind w:left="341" w:right="0" w:hanging="241"/>
        <w:jc w:val="left"/>
        <w:rPr>
          <w:sz w:val="32"/>
        </w:rPr>
      </w:pPr>
      <w:r>
        <w:rPr>
          <w:color w:val="373737"/>
          <w:sz w:val="32"/>
        </w:rPr>
        <w:t>選務委員會</w:t>
      </w:r>
      <w:r>
        <w:rPr>
          <w:rFonts w:ascii="Times New Roman" w:eastAsia="Times New Roman"/>
          <w:color w:val="373737"/>
          <w:sz w:val="32"/>
        </w:rPr>
        <w:t>-</w:t>
      </w:r>
      <w:r>
        <w:rPr>
          <w:color w:val="373737"/>
          <w:spacing w:val="-2"/>
          <w:sz w:val="32"/>
        </w:rPr>
        <w:t>召集⼈莊曜霖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90" w:after="0"/>
        <w:ind w:left="341" w:right="0" w:hanging="241"/>
        <w:jc w:val="left"/>
        <w:rPr>
          <w:sz w:val="32"/>
        </w:rPr>
      </w:pPr>
      <w:r>
        <w:rPr>
          <w:color w:val="373737"/>
          <w:sz w:val="32"/>
        </w:rPr>
        <w:t>運動禁藥管制委員會</w:t>
      </w:r>
      <w:r>
        <w:rPr>
          <w:rFonts w:ascii="Times New Roman" w:eastAsia="Times New Roman"/>
          <w:color w:val="373737"/>
          <w:sz w:val="32"/>
        </w:rPr>
        <w:t>-</w:t>
      </w:r>
      <w:r>
        <w:rPr>
          <w:color w:val="373737"/>
          <w:spacing w:val="-4"/>
          <w:sz w:val="32"/>
        </w:rPr>
        <w:t>籌備中</w:t>
      </w:r>
    </w:p>
    <w:p>
      <w:pPr>
        <w:pStyle w:val="Heading1"/>
        <w:spacing w:before="91"/>
      </w:pPr>
      <w:r>
        <w:rPr>
          <w:color w:val="373737"/>
          <w:spacing w:val="-2"/>
        </w:rPr>
        <w:t>貳、發展⽬標</w:t>
      </w:r>
    </w:p>
    <w:p>
      <w:pPr>
        <w:pStyle w:val="BodyText"/>
        <w:spacing w:line="180" w:lineRule="auto" w:before="195"/>
        <w:ind w:right="199"/>
      </w:pPr>
      <w:r>
        <w:rPr>
          <w:color w:val="373737"/>
          <w:spacing w:val="-2"/>
        </w:rPr>
        <w:t>為求撞球運動發展上可以更穩定的成長，將致⼒於結合專業⼈</w:t>
      </w:r>
      <w:r>
        <w:rPr>
          <w:color w:val="373737"/>
          <w:spacing w:val="40"/>
        </w:rPr>
        <w:t> </w:t>
      </w:r>
      <w:r>
        <w:rPr>
          <w:color w:val="373737"/>
          <w:spacing w:val="-2"/>
        </w:rPr>
        <w:t>材、尋求社會資源、與各地區球館合作，將⽬標放在推廣全民健</w:t>
      </w:r>
      <w:r>
        <w:rPr>
          <w:color w:val="373737"/>
          <w:spacing w:val="-2"/>
        </w:rPr>
        <w:t>康運動，吸引潛⼒選⼿、加強訓練選⼿，增加教練、裁判等專業</w:t>
      </w:r>
      <w:r>
        <w:rPr>
          <w:color w:val="373737"/>
          <w:spacing w:val="-2"/>
        </w:rPr>
        <w:t>訓練，讓選⼿有發揮的舞台，讓愛好者有安全的空間享受撞球運</w:t>
      </w:r>
      <w:r>
        <w:rPr>
          <w:color w:val="373737"/>
          <w:spacing w:val="-6"/>
        </w:rPr>
        <w:t>動。</w:t>
      </w:r>
    </w:p>
    <w:p>
      <w:pPr>
        <w:pStyle w:val="BodyText"/>
        <w:spacing w:line="515" w:lineRule="exact" w:before="263"/>
      </w:pPr>
      <w:r>
        <w:rPr>
          <w:color w:val="373737"/>
          <w:spacing w:val="-2"/>
        </w:rPr>
        <w:t>⼀、</w:t>
      </w:r>
      <w:r>
        <w:rPr>
          <w:rFonts w:ascii="Times New Roman" w:eastAsia="Times New Roman"/>
          <w:color w:val="373737"/>
          <w:spacing w:val="-2"/>
        </w:rPr>
        <w:t>111-115</w:t>
      </w:r>
      <w:r>
        <w:rPr>
          <w:rFonts w:ascii="Times New Roman" w:eastAsia="Times New Roman"/>
          <w:color w:val="373737"/>
          <w:spacing w:val="7"/>
        </w:rPr>
        <w:t> </w:t>
      </w:r>
      <w:r>
        <w:rPr>
          <w:color w:val="373737"/>
          <w:spacing w:val="-3"/>
        </w:rPr>
        <w:t>年增加國內、國際重⼤賽會舉辦</w:t>
      </w:r>
    </w:p>
    <w:p>
      <w:pPr>
        <w:pStyle w:val="BodyText"/>
        <w:spacing w:line="515" w:lineRule="exact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rPr/>
        <w:t>⼀</w:t>
      </w:r>
      <w:r>
        <w:rPr>
          <w:rFonts w:ascii="Times New Roman" w:eastAsia="Times New Roman"/>
        </w:rPr>
        <w:t>)</w:t>
      </w:r>
      <w:r>
        <w:rPr/>
        <w:t>總⽬標</w:t>
      </w:r>
      <w:r>
        <w:rPr>
          <w:rFonts w:ascii="Times New Roman" w:eastAsia="Times New Roman"/>
          <w:spacing w:val="-10"/>
        </w:rPr>
        <w:t>:</w:t>
      </w:r>
    </w:p>
    <w:p>
      <w:pPr>
        <w:spacing w:after="0" w:line="515" w:lineRule="exact"/>
        <w:rPr>
          <w:rFonts w:ascii="Times New Roman" w:eastAsia="Times New Roman"/>
        </w:rPr>
        <w:sectPr>
          <w:pgSz w:w="11900" w:h="16840"/>
          <w:pgMar w:header="0" w:footer="800" w:top="1360" w:bottom="1000" w:left="1340" w:right="1300"/>
        </w:sectPr>
      </w:pPr>
    </w:p>
    <w:p>
      <w:pPr>
        <w:pStyle w:val="BodyText"/>
        <w:spacing w:line="180" w:lineRule="auto" w:before="94"/>
        <w:ind w:right="199"/>
      </w:pPr>
      <w:r>
        <w:rPr>
          <w:spacing w:val="-2"/>
        </w:rPr>
        <w:t>為提升總體競技實⼒，並推廣撞球運動，達到全民參與，吸引⼈</w:t>
      </w:r>
      <w:r>
        <w:rPr/>
        <w:t>才，以備戰國際綜合性賽會</w:t>
      </w:r>
      <w:r>
        <w:rPr>
          <w:rFonts w:ascii="Times New Roman" w:eastAsia="Times New Roman"/>
        </w:rPr>
        <w:t>(</w:t>
      </w:r>
      <w:r>
        <w:rPr/>
        <w:t>如，</w:t>
      </w:r>
      <w:r>
        <w:rPr>
          <w:rFonts w:ascii="Times New Roman" w:eastAsia="Times New Roman"/>
        </w:rPr>
        <w:t>2030 </w:t>
      </w:r>
      <w:r>
        <w:rPr/>
        <w:t>年沙烏地阿拉伯亞運、 </w:t>
      </w:r>
      <w:r>
        <w:rPr>
          <w:rFonts w:ascii="Times New Roman" w:eastAsia="Times New Roman"/>
        </w:rPr>
        <w:t>2022 </w:t>
      </w:r>
      <w:r>
        <w:rPr/>
        <w:t>年世界運動會等</w:t>
      </w:r>
      <w:r>
        <w:rPr>
          <w:rFonts w:ascii="Times New Roman" w:eastAsia="Times New Roman"/>
        </w:rPr>
        <w:t>) </w:t>
      </w:r>
      <w:r>
        <w:rPr/>
        <w:t>取得參賽資格並奪牌為⽬標。</w:t>
      </w:r>
    </w:p>
    <w:p>
      <w:pPr>
        <w:pStyle w:val="BodyText"/>
        <w:spacing w:before="127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rPr/>
        <w:t>⼆</w:t>
      </w:r>
      <w:r>
        <w:rPr>
          <w:rFonts w:ascii="Times New Roman" w:eastAsia="Times New Roman"/>
        </w:rPr>
        <w:t>)</w:t>
      </w:r>
      <w:r>
        <w:rPr>
          <w:spacing w:val="-3"/>
        </w:rPr>
        <w:t>分年⽬標 </w:t>
      </w:r>
      <w:r>
        <w:rPr>
          <w:rFonts w:ascii="Times New Roman" w:eastAsia="Times New Roman"/>
          <w:spacing w:val="-10"/>
        </w:rPr>
        <w:t>:</w:t>
      </w:r>
    </w:p>
    <w:p>
      <w:pPr>
        <w:pStyle w:val="BodyText"/>
        <w:spacing w:line="180" w:lineRule="auto" w:before="196"/>
        <w:ind w:right="411"/>
      </w:pPr>
      <w:r>
        <w:rPr>
          <w:rFonts w:ascii="Times New Roman" w:eastAsia="Times New Roman"/>
          <w:spacing w:val="-2"/>
        </w:rPr>
        <w:t>-</w:t>
      </w:r>
      <w:r>
        <w:rPr>
          <w:spacing w:val="-2"/>
        </w:rPr>
        <w:t>舉辦全國性賽會，如全國菁英⼤賽、全國學⽣盃、全國女⼦⼤</w:t>
      </w:r>
      <w:r>
        <w:rPr>
          <w:spacing w:val="-2"/>
        </w:rPr>
        <w:t>賽，及各地分站賽事。</w:t>
      </w:r>
    </w:p>
    <w:p>
      <w:pPr>
        <w:pStyle w:val="BodyText"/>
        <w:spacing w:before="130"/>
      </w:pPr>
      <w:r>
        <w:rPr>
          <w:rFonts w:ascii="Times New Roman" w:eastAsia="Times New Roman"/>
        </w:rPr>
        <w:t>-</w:t>
      </w:r>
      <w:r>
        <w:rPr>
          <w:spacing w:val="-1"/>
        </w:rPr>
        <w:t>申請國際賽事來台舉辦，如亞洲盃錦標賽、國際公開賽等。</w:t>
      </w:r>
    </w:p>
    <w:p>
      <w:pPr>
        <w:pStyle w:val="BodyText"/>
        <w:spacing w:line="515" w:lineRule="exact" w:before="90"/>
      </w:pPr>
      <w:r>
        <w:rPr>
          <w:spacing w:val="-2"/>
        </w:rPr>
        <w:t>⼆、參賽⽬標及成績</w:t>
      </w:r>
    </w:p>
    <w:p>
      <w:pPr>
        <w:pStyle w:val="BodyText"/>
        <w:spacing w:line="180" w:lineRule="auto" w:before="31"/>
        <w:ind w:right="224"/>
      </w:pPr>
      <w:r>
        <w:rPr>
          <w:spacing w:val="-2"/>
        </w:rPr>
        <w:t>在國際運動錦標賽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如世錦賽、亞錦賽、世青賽、亞青賽</w:t>
      </w:r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、國際</w:t>
      </w:r>
      <w:r>
        <w:rPr/>
        <w:t>重要賽會</w:t>
      </w:r>
      <w:r>
        <w:rPr>
          <w:rFonts w:ascii="Times New Roman" w:eastAsia="Times New Roman"/>
          <w:spacing w:val="-10"/>
        </w:rPr>
        <w:t>( </w:t>
      </w:r>
      <w:r>
        <w:rPr/>
        <w:t>如美國公開錦標賽、世界雙打賽等</w:t>
      </w:r>
      <w:r>
        <w:rPr>
          <w:rFonts w:ascii="Times New Roman" w:eastAsia="Times New Roman"/>
        </w:rPr>
        <w:t>)</w:t>
      </w:r>
      <w:r>
        <w:rPr/>
        <w:t>以及世界運動會奪</w:t>
      </w:r>
      <w:r>
        <w:rPr/>
        <w:t>牌，持續突破締造佳績。 並放眼</w:t>
      </w:r>
      <w:r>
        <w:rPr>
          <w:rFonts w:ascii="Times New Roman" w:eastAsia="Times New Roman"/>
        </w:rPr>
        <w:t>2030</w:t>
      </w:r>
      <w:r>
        <w:rPr/>
        <w:t>撞球回到亞運項⽬中時，</w:t>
      </w:r>
      <w:r>
        <w:rPr>
          <w:spacing w:val="-2"/>
        </w:rPr>
        <w:t>進⽽爭取⾦牌榮耀。</w:t>
      </w:r>
    </w:p>
    <w:p>
      <w:pPr>
        <w:pStyle w:val="BodyText"/>
        <w:spacing w:before="125"/>
        <w:rPr>
          <w:rFonts w:ascii="Times New Roman" w:eastAsia="Times New Roman"/>
        </w:rPr>
      </w:pPr>
      <w:r>
        <w:rPr/>
        <w:t>三、組織業務推展及完善會務運作</w:t>
      </w:r>
      <w:r>
        <w:rPr>
          <w:rFonts w:ascii="Times New Roman" w:eastAsia="Times New Roman"/>
          <w:spacing w:val="-10"/>
        </w:rPr>
        <w:t>:</w:t>
      </w:r>
    </w:p>
    <w:p>
      <w:pPr>
        <w:pStyle w:val="BodyText"/>
        <w:spacing w:line="180" w:lineRule="auto" w:before="195"/>
        <w:ind w:right="199"/>
      </w:pPr>
      <w:r>
        <w:rPr>
          <w:spacing w:val="-2"/>
        </w:rPr>
        <w:t>依據評鑑結果，並配合國家運動政策及⽅針，逐步改善各專項委</w:t>
      </w:r>
      <w:r>
        <w:rPr>
          <w:spacing w:val="-2"/>
        </w:rPr>
        <w:t>員會，建⽴組織簡則並確實執⾏運作，完善各項制度及管理機</w:t>
      </w:r>
      <w:r>
        <w:rPr>
          <w:spacing w:val="40"/>
        </w:rPr>
        <w:t> </w:t>
      </w:r>
      <w:r>
        <w:rPr>
          <w:spacing w:val="-6"/>
        </w:rPr>
        <w:t>制。</w:t>
      </w:r>
    </w:p>
    <w:p>
      <w:pPr>
        <w:pStyle w:val="BodyText"/>
        <w:spacing w:before="128"/>
      </w:pPr>
      <w:r>
        <w:rPr>
          <w:spacing w:val="-2"/>
        </w:rPr>
        <w:t>四、尋求贊助資源</w:t>
      </w:r>
    </w:p>
    <w:p>
      <w:pPr>
        <w:pStyle w:val="BodyText"/>
        <w:spacing w:line="180" w:lineRule="auto" w:before="195"/>
        <w:ind w:right="199"/>
      </w:pPr>
      <w:r>
        <w:rPr>
          <w:spacing w:val="-2"/>
        </w:rPr>
        <w:t>尋求更跨領域的合作，利⽤資源增加賽事、強化選⼿競技機會，</w:t>
      </w:r>
      <w:r>
        <w:rPr>
          <w:spacing w:val="-2"/>
        </w:rPr>
        <w:t>並吸引更多民眾投入撞球運動。</w:t>
      </w:r>
    </w:p>
    <w:p>
      <w:pPr>
        <w:pStyle w:val="BodyText"/>
        <w:spacing w:before="130"/>
      </w:pPr>
      <w:r>
        <w:rPr>
          <w:spacing w:val="-1"/>
        </w:rPr>
        <w:t>五、收集有效資訊，擬列撞球運動場館的法規修正⽅案</w:t>
      </w:r>
    </w:p>
    <w:p>
      <w:pPr>
        <w:pStyle w:val="Heading1"/>
      </w:pPr>
      <w:r>
        <w:rPr>
          <w:spacing w:val="-2"/>
        </w:rPr>
        <w:t>參、計畫措施</w:t>
      </w:r>
    </w:p>
    <w:p>
      <w:pPr>
        <w:pStyle w:val="BodyText"/>
        <w:spacing w:before="90"/>
      </w:pPr>
      <w:r>
        <w:rPr>
          <w:spacing w:val="-1"/>
        </w:rPr>
        <w:t>⼀、專項委員會之組成及運作依據組織簡則落實執⾏。</w:t>
      </w:r>
    </w:p>
    <w:p>
      <w:pPr>
        <w:pStyle w:val="BodyText"/>
        <w:spacing w:before="90"/>
      </w:pPr>
      <w:r>
        <w:rPr>
          <w:spacing w:val="-1"/>
        </w:rPr>
        <w:t>⼆、舉辦全國性賽會，吸引潛⼒選⼿與建⽴志⼯合作機制</w:t>
      </w:r>
    </w:p>
    <w:p>
      <w:pPr>
        <w:spacing w:after="0"/>
        <w:sectPr>
          <w:pgSz w:w="11900" w:h="16840"/>
          <w:pgMar w:header="0" w:footer="800" w:top="1360" w:bottom="1000" w:left="1340" w:right="1300"/>
        </w:sectPr>
      </w:pPr>
    </w:p>
    <w:p>
      <w:pPr>
        <w:pStyle w:val="BodyText"/>
        <w:spacing w:line="180" w:lineRule="auto" w:before="94"/>
        <w:ind w:right="199"/>
        <w:rPr>
          <w:sz w:val="24"/>
        </w:rPr>
      </w:pPr>
      <w:r>
        <w:rPr>
          <w:spacing w:val="-2"/>
        </w:rPr>
        <w:t>依據不同層級分別建置資料庫，以及選⼿完整成績登錄管理。並</w:t>
      </w:r>
      <w:r>
        <w:rPr>
          <w:spacing w:val="-2"/>
        </w:rPr>
        <w:t>招募志⼯，加入志⼯⼈⼒資料庫，安排投入各賽會活動當中</w:t>
      </w:r>
      <w:r>
        <w:rPr>
          <w:spacing w:val="-2"/>
          <w:sz w:val="24"/>
        </w:rPr>
        <w:t>。</w:t>
      </w:r>
    </w:p>
    <w:p>
      <w:pPr>
        <w:pStyle w:val="BodyText"/>
        <w:spacing w:before="130"/>
      </w:pPr>
      <w:r>
        <w:rPr>
          <w:spacing w:val="-1"/>
        </w:rPr>
        <w:t>三、舉辦裁判、教練證照講習會</w:t>
      </w:r>
    </w:p>
    <w:p>
      <w:pPr>
        <w:pStyle w:val="BodyText"/>
        <w:spacing w:line="515" w:lineRule="exact" w:before="90"/>
      </w:pPr>
      <w:r>
        <w:rPr/>
        <w:t>教練、裁判證有效期間為四年</w:t>
      </w:r>
      <w:r>
        <w:rPr>
          <w:rFonts w:ascii="Times New Roman" w:eastAsia="Times New Roman"/>
        </w:rPr>
        <w:t>;</w:t>
      </w:r>
      <w:r>
        <w:rPr>
          <w:spacing w:val="-2"/>
        </w:rPr>
        <w:t>經參加專業進修課程累計達 </w:t>
      </w:r>
      <w:r>
        <w:rPr>
          <w:rFonts w:ascii="Times New Roman" w:eastAsia="Times New Roman"/>
        </w:rPr>
        <w:t>48 </w:t>
      </w:r>
      <w:r>
        <w:rPr>
          <w:spacing w:val="-10"/>
        </w:rPr>
        <w:t>⼩</w:t>
      </w:r>
    </w:p>
    <w:p>
      <w:pPr>
        <w:pStyle w:val="BodyText"/>
        <w:spacing w:line="180" w:lineRule="auto" w:before="31"/>
        <w:ind w:right="439"/>
        <w:jc w:val="both"/>
      </w:pPr>
      <w:r>
        <w:rPr>
          <w:spacing w:val="-7"/>
        </w:rPr>
        <w:t>時， 並每年至少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6"/>
        </w:rPr>
        <w:t> </w:t>
      </w:r>
      <w:r>
        <w:rPr>
          <w:spacing w:val="-3"/>
        </w:rPr>
        <w:t>⼩時者，於效期屆滿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6"/>
        </w:rPr>
        <w:t> </w:t>
      </w:r>
      <w:r>
        <w:rPr>
          <w:spacing w:val="-5"/>
        </w:rPr>
        <w:t>個⽉前至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6"/>
        </w:rPr>
        <w:t> </w:t>
      </w:r>
      <w:r>
        <w:rPr/>
        <w:t>個⽉內之</w:t>
      </w:r>
      <w:r>
        <w:rPr>
          <w:spacing w:val="-2"/>
        </w:rPr>
        <w:t>期間，得向 本會申請教練、裁判證效期之展延，每次展延期間</w:t>
      </w:r>
      <w:r>
        <w:rPr/>
        <w:t>為 </w:t>
      </w:r>
      <w:r>
        <w:rPr>
          <w:rFonts w:ascii="Times New Roman" w:eastAsia="Times New Roman"/>
        </w:rPr>
        <w:t>4 </w:t>
      </w:r>
      <w:r>
        <w:rPr/>
        <w:t>年。</w:t>
      </w:r>
    </w:p>
    <w:p>
      <w:pPr>
        <w:pStyle w:val="BodyText"/>
        <w:spacing w:line="180" w:lineRule="auto" w:before="232"/>
        <w:ind w:right="199"/>
      </w:pPr>
      <w:r>
        <w:rPr>
          <w:spacing w:val="-2"/>
        </w:rPr>
        <w:t>每年固定開設各級裁判、教練講習會，並由裁判、教練委員會修</w:t>
      </w:r>
      <w:r>
        <w:rPr>
          <w:spacing w:val="-2"/>
        </w:rPr>
        <w:t>訂完整的資格檢定、進修及管理制度。</w:t>
      </w:r>
    </w:p>
    <w:p>
      <w:pPr>
        <w:pStyle w:val="BodyText"/>
        <w:spacing w:before="130"/>
      </w:pPr>
      <w:r>
        <w:rPr>
          <w:spacing w:val="-1"/>
        </w:rPr>
        <w:t>四、會計制度及財務稽核管理機制</w:t>
      </w:r>
    </w:p>
    <w:p>
      <w:pPr>
        <w:pStyle w:val="BodyText"/>
        <w:spacing w:line="180" w:lineRule="auto" w:before="196"/>
        <w:ind w:right="199"/>
      </w:pPr>
      <w:r>
        <w:rPr>
          <w:spacing w:val="-2"/>
        </w:rPr>
        <w:t>依據年度計畫確實執⾏，並於本會財務專區公告政府機關補助及</w:t>
      </w:r>
      <w:r>
        <w:rPr>
          <w:spacing w:val="-2"/>
        </w:rPr>
        <w:t>執⾏情形。</w:t>
      </w:r>
    </w:p>
    <w:p>
      <w:pPr>
        <w:pStyle w:val="BodyText"/>
        <w:spacing w:before="130"/>
      </w:pPr>
      <w:r>
        <w:rPr>
          <w:spacing w:val="-1"/>
        </w:rPr>
        <w:t>五、落實國家代表隊之培訓、遴選及參賽</w:t>
      </w:r>
    </w:p>
    <w:p>
      <w:pPr>
        <w:pStyle w:val="BodyText"/>
        <w:spacing w:line="180" w:lineRule="auto" w:before="195"/>
        <w:ind w:right="439"/>
      </w:pPr>
      <w:r>
        <w:rPr>
          <w:spacing w:val="-2"/>
        </w:rPr>
        <w:t>依據本會選訓委員會決議，國⼿選拔依國際賽事制定選拔標</w:t>
      </w:r>
      <w:r>
        <w:rPr>
          <w:spacing w:val="80"/>
          <w:w w:val="150"/>
        </w:rPr>
        <w:t> </w:t>
      </w:r>
      <w:r>
        <w:rPr>
          <w:spacing w:val="-2"/>
        </w:rPr>
        <w:t>準， 並由選訓委員會依賽事程度所需研擬國家代表隊培訓、參</w:t>
      </w:r>
      <w:r>
        <w:rPr>
          <w:spacing w:val="-4"/>
        </w:rPr>
        <w:t>賽計畫。</w:t>
      </w:r>
    </w:p>
    <w:p>
      <w:pPr>
        <w:pStyle w:val="BodyText"/>
        <w:spacing w:before="128"/>
      </w:pPr>
      <w:r>
        <w:rPr>
          <w:spacing w:val="-1"/>
        </w:rPr>
        <w:t>六、提供選⼿賽會後勤⽀援</w:t>
      </w:r>
    </w:p>
    <w:p>
      <w:pPr>
        <w:pStyle w:val="BodyText"/>
        <w:spacing w:line="180" w:lineRule="auto" w:before="195"/>
        <w:ind w:right="199"/>
        <w:jc w:val="both"/>
      </w:pPr>
      <w:r>
        <w:rPr>
          <w:spacing w:val="-2"/>
        </w:rPr>
        <w:t>提供國際賽事之報名、交通、住宿、接駁、教練帶團等賽事情報</w:t>
      </w:r>
      <w:r>
        <w:rPr>
          <w:spacing w:val="-2"/>
        </w:rPr>
        <w:t>收集、以掌握賽事當地環境、飲食⽔⼟等，協助選⼿提升國際成</w:t>
      </w:r>
      <w:r>
        <w:rPr>
          <w:spacing w:val="-6"/>
        </w:rPr>
        <w:t>績。</w:t>
      </w:r>
    </w:p>
    <w:p>
      <w:pPr>
        <w:pStyle w:val="BodyText"/>
        <w:spacing w:line="515" w:lineRule="exact" w:before="268"/>
      </w:pPr>
      <w:r>
        <w:rPr>
          <w:spacing w:val="-2"/>
        </w:rPr>
        <w:t>七、洽談贊助與直播</w:t>
      </w:r>
    </w:p>
    <w:p>
      <w:pPr>
        <w:pStyle w:val="BodyText"/>
        <w:spacing w:line="180" w:lineRule="auto" w:before="30"/>
        <w:ind w:right="199"/>
      </w:pPr>
      <w:r>
        <w:rPr>
          <w:spacing w:val="-2"/>
        </w:rPr>
        <w:t>為推動撞球運動的曝光，吸引全民關注與參與，將投入賽事直</w:t>
      </w:r>
      <w:r>
        <w:rPr>
          <w:spacing w:val="40"/>
        </w:rPr>
        <w:t> </w:t>
      </w:r>
      <w:r>
        <w:rPr>
          <w:spacing w:val="-2"/>
        </w:rPr>
        <w:t>播，並積極與各界洽談合作可能，協助遠⼿獲得資源贊助，讓撞</w:t>
      </w:r>
      <w:r>
        <w:rPr>
          <w:spacing w:val="-2"/>
        </w:rPr>
        <w:t>球發展更能穩定。</w:t>
      </w:r>
    </w:p>
    <w:p>
      <w:pPr>
        <w:pStyle w:val="BodyText"/>
        <w:spacing w:before="267"/>
      </w:pPr>
      <w:r>
        <w:rPr>
          <w:spacing w:val="-1"/>
        </w:rPr>
        <w:t>八、與球館、業者洽談建⽴符合法規設⽴機制</w:t>
      </w:r>
    </w:p>
    <w:p>
      <w:pPr>
        <w:spacing w:after="0"/>
        <w:sectPr>
          <w:pgSz w:w="11900" w:h="16840"/>
          <w:pgMar w:header="0" w:footer="800" w:top="1360" w:bottom="1000" w:left="1340" w:right="1300"/>
        </w:sectPr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579" w:lineRule="exact" w:before="0" w:after="0"/>
        <w:ind w:left="491" w:right="0" w:hanging="392"/>
        <w:jc w:val="left"/>
        <w:rPr>
          <w:sz w:val="32"/>
        </w:rPr>
      </w:pPr>
      <w:r>
        <w:rPr>
          <w:spacing w:val="-1"/>
          <w:sz w:val="32"/>
        </w:rPr>
        <w:t>與業者進⾏研究與討論，分析市場趨勢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90" w:after="0"/>
        <w:ind w:left="473" w:right="0" w:hanging="374"/>
        <w:jc w:val="left"/>
        <w:rPr>
          <w:sz w:val="32"/>
        </w:rPr>
      </w:pPr>
      <w:r>
        <w:rPr>
          <w:spacing w:val="-1"/>
          <w:sz w:val="32"/>
        </w:rPr>
        <w:t>討論場館安全與訂定安全規則</w:t>
      </w:r>
    </w:p>
    <w:p>
      <w:pPr>
        <w:pStyle w:val="BodyText"/>
        <w:spacing w:before="9"/>
        <w:ind w:left="0"/>
        <w:rPr>
          <w:sz w:val="38"/>
        </w:rPr>
      </w:pPr>
    </w:p>
    <w:p>
      <w:pPr>
        <w:pStyle w:val="BodyText"/>
        <w:spacing w:before="1"/>
        <w:ind w:left="93" w:right="1152"/>
        <w:jc w:val="center"/>
      </w:pPr>
      <w:r>
        <w:rPr>
          <w:spacing w:val="-1"/>
        </w:rPr>
        <w:t>尋求法規修訂與健全球館設⽴機制，溝通業者符合法規。</w:t>
      </w:r>
    </w:p>
    <w:p>
      <w:pPr>
        <w:spacing w:before="230"/>
        <w:ind w:left="3038" w:right="3077" w:firstLine="0"/>
        <w:jc w:val="center"/>
        <w:rPr>
          <w:b/>
          <w:sz w:val="32"/>
        </w:rPr>
      </w:pPr>
      <w:r>
        <w:rPr>
          <w:b/>
          <w:sz w:val="32"/>
        </w:rPr>
        <w:t>肆</w:t>
      </w:r>
      <w:r>
        <w:rPr>
          <w:b/>
          <w:sz w:val="24"/>
        </w:rPr>
        <w:t>、</w:t>
      </w:r>
      <w:r>
        <w:rPr>
          <w:b/>
          <w:spacing w:val="-2"/>
          <w:sz w:val="32"/>
        </w:rPr>
        <w:t>中長程計畫時程表</w:t>
      </w:r>
    </w:p>
    <w:p>
      <w:pPr>
        <w:pStyle w:val="BodyText"/>
        <w:spacing w:before="17"/>
        <w:ind w:left="0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2"/>
        <w:gridCol w:w="1732"/>
        <w:gridCol w:w="1730"/>
      </w:tblGrid>
      <w:tr>
        <w:trPr>
          <w:trHeight w:val="560" w:hRule="atLeast"/>
        </w:trPr>
        <w:tc>
          <w:tcPr>
            <w:tcW w:w="5572" w:type="dxa"/>
            <w:tcBorders>
              <w:top w:val="single" w:sz="8" w:space="0" w:color="000000"/>
              <w:bottom w:val="single" w:sz="8" w:space="0" w:color="5B5854"/>
              <w:right w:val="dashed" w:sz="6" w:space="0" w:color="D1D0CF"/>
            </w:tcBorders>
          </w:tcPr>
          <w:p>
            <w:pPr>
              <w:pStyle w:val="TableParagraph"/>
              <w:spacing w:before="15"/>
              <w:ind w:left="82"/>
              <w:rPr>
                <w:b/>
                <w:sz w:val="28"/>
              </w:rPr>
            </w:pPr>
            <w:r>
              <w:rPr>
                <w:b/>
                <w:color w:val="444444"/>
                <w:spacing w:val="-3"/>
                <w:sz w:val="28"/>
              </w:rPr>
              <w:t>計畫措施</w:t>
            </w:r>
          </w:p>
        </w:tc>
        <w:tc>
          <w:tcPr>
            <w:tcW w:w="1732" w:type="dxa"/>
            <w:tcBorders>
              <w:top w:val="single" w:sz="8" w:space="0" w:color="000000"/>
              <w:left w:val="dashed" w:sz="6" w:space="0" w:color="D1D0CF"/>
              <w:bottom w:val="single" w:sz="8" w:space="0" w:color="5B5854"/>
              <w:right w:val="dashed" w:sz="6" w:space="0" w:color="D1D0CF"/>
            </w:tcBorders>
          </w:tcPr>
          <w:p>
            <w:pPr>
              <w:pStyle w:val="TableParagraph"/>
              <w:spacing w:before="21"/>
              <w:ind w:left="89"/>
              <w:rPr>
                <w:b/>
                <w:sz w:val="24"/>
              </w:rPr>
            </w:pPr>
            <w:r>
              <w:rPr>
                <w:b/>
                <w:color w:val="444444"/>
                <w:sz w:val="24"/>
              </w:rPr>
              <w:t>中程（</w:t>
            </w:r>
            <w:r>
              <w:rPr>
                <w:rFonts w:ascii="Times New Roman" w:eastAsia="Times New Roman"/>
                <w:b/>
                <w:color w:val="444444"/>
                <w:sz w:val="24"/>
              </w:rPr>
              <w:t>3-4</w:t>
            </w:r>
            <w:r>
              <w:rPr>
                <w:b/>
                <w:color w:val="444444"/>
                <w:sz w:val="24"/>
              </w:rPr>
              <w:t>年</w:t>
            </w:r>
            <w:r>
              <w:rPr>
                <w:b/>
                <w:color w:val="444444"/>
                <w:spacing w:val="-10"/>
                <w:sz w:val="24"/>
              </w:rPr>
              <w:t>）</w:t>
            </w:r>
          </w:p>
        </w:tc>
        <w:tc>
          <w:tcPr>
            <w:tcW w:w="1730" w:type="dxa"/>
            <w:tcBorders>
              <w:top w:val="single" w:sz="8" w:space="0" w:color="000000"/>
              <w:left w:val="dashed" w:sz="6" w:space="0" w:color="D1D0CF"/>
              <w:bottom w:val="single" w:sz="8" w:space="0" w:color="000000"/>
            </w:tcBorders>
          </w:tcPr>
          <w:p>
            <w:pPr>
              <w:pStyle w:val="TableParagraph"/>
              <w:spacing w:before="21"/>
              <w:ind w:left="90"/>
              <w:rPr>
                <w:b/>
                <w:sz w:val="24"/>
              </w:rPr>
            </w:pPr>
            <w:r>
              <w:rPr>
                <w:b/>
                <w:color w:val="444444"/>
                <w:sz w:val="24"/>
              </w:rPr>
              <w:t>長程（</w:t>
            </w:r>
            <w:r>
              <w:rPr>
                <w:rFonts w:ascii="Times New Roman" w:eastAsia="Times New Roman"/>
                <w:b/>
                <w:color w:val="444444"/>
                <w:sz w:val="24"/>
              </w:rPr>
              <w:t>5-8</w:t>
            </w:r>
            <w:r>
              <w:rPr>
                <w:b/>
                <w:color w:val="444444"/>
                <w:sz w:val="24"/>
              </w:rPr>
              <w:t>年</w:t>
            </w:r>
            <w:r>
              <w:rPr>
                <w:b/>
                <w:color w:val="444444"/>
                <w:spacing w:val="-10"/>
                <w:sz w:val="24"/>
              </w:rPr>
              <w:t>）</w:t>
            </w:r>
          </w:p>
        </w:tc>
      </w:tr>
      <w:tr>
        <w:trPr>
          <w:trHeight w:val="269" w:hRule="atLeast"/>
        </w:trPr>
        <w:tc>
          <w:tcPr>
            <w:tcW w:w="5572" w:type="dxa"/>
            <w:vMerge w:val="restart"/>
            <w:tcBorders>
              <w:top w:val="single" w:sz="8" w:space="0" w:color="5B5854"/>
              <w:left w:val="single" w:sz="8" w:space="0" w:color="FFFFFF"/>
              <w:bottom w:val="single" w:sz="8" w:space="0" w:color="000000"/>
            </w:tcBorders>
          </w:tcPr>
          <w:p>
            <w:pPr>
              <w:pStyle w:val="TableParagraph"/>
              <w:spacing w:line="458" w:lineRule="exact" w:before="15"/>
              <w:ind w:left="90"/>
              <w:rPr>
                <w:sz w:val="28"/>
              </w:rPr>
            </w:pPr>
            <w:r>
              <w:rPr>
                <w:spacing w:val="-1"/>
                <w:sz w:val="28"/>
              </w:rPr>
              <w:t>專項委員會之組成及運作依據組織簡則落實</w:t>
            </w:r>
          </w:p>
          <w:p>
            <w:pPr>
              <w:pStyle w:val="TableParagraph"/>
              <w:spacing w:line="458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執⾏</w:t>
            </w:r>
          </w:p>
        </w:tc>
        <w:tc>
          <w:tcPr>
            <w:tcW w:w="1732" w:type="dxa"/>
            <w:tcBorders>
              <w:top w:val="single" w:sz="8" w:space="0" w:color="5B5854"/>
              <w:left w:val="dashed" w:sz="6" w:space="0" w:color="D1D0CF"/>
              <w:righ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dashed" w:sz="6" w:space="0" w:color="D1D0CF"/>
              <w:bottom w:val="single" w:sz="8" w:space="0" w:color="5B585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8" w:hRule="atLeast"/>
        </w:trPr>
        <w:tc>
          <w:tcPr>
            <w:tcW w:w="5572" w:type="dxa"/>
            <w:vMerge/>
            <w:tcBorders>
              <w:top w:val="nil"/>
              <w:left w:val="single" w:sz="8" w:space="0" w:color="FFFFFF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right w:val="dashed" w:sz="6" w:space="0" w:color="D1D0CF"/>
            </w:tcBorders>
            <w:shd w:val="clear" w:color="auto" w:fill="4D683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0" w:type="dxa"/>
            <w:vMerge/>
            <w:tcBorders>
              <w:top w:val="nil"/>
              <w:left w:val="dashed" w:sz="6" w:space="0" w:color="D1D0CF"/>
              <w:bottom w:val="single" w:sz="8" w:space="0" w:color="5B585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5572" w:type="dxa"/>
            <w:vMerge/>
            <w:tcBorders>
              <w:top w:val="nil"/>
              <w:left w:val="single" w:sz="8" w:space="0" w:color="FFFFFF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left w:val="dashed" w:sz="6" w:space="0" w:color="D1D0CF"/>
              <w:bottom w:val="single" w:sz="8" w:space="0" w:color="5B5854"/>
              <w:righ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vMerge/>
            <w:tcBorders>
              <w:top w:val="nil"/>
              <w:left w:val="dashed" w:sz="6" w:space="0" w:color="D1D0CF"/>
              <w:bottom w:val="single" w:sz="8" w:space="0" w:color="5B585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557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auto" w:before="136"/>
              <w:ind w:left="130" w:right="121"/>
              <w:rPr>
                <w:b/>
                <w:sz w:val="28"/>
              </w:rPr>
            </w:pPr>
            <w:r>
              <w:rPr>
                <w:b/>
                <w:color w:val="444444"/>
                <w:spacing w:val="-2"/>
                <w:sz w:val="28"/>
              </w:rPr>
              <w:t>舉辦全國性賽會，吸引潛⼒選⼿與建⽴志⼯</w:t>
            </w:r>
            <w:r>
              <w:rPr>
                <w:b/>
                <w:color w:val="444444"/>
                <w:spacing w:val="-4"/>
                <w:sz w:val="28"/>
              </w:rPr>
              <w:t>合作機制</w:t>
            </w:r>
          </w:p>
        </w:tc>
        <w:tc>
          <w:tcPr>
            <w:tcW w:w="1732" w:type="dxa"/>
            <w:tcBorders>
              <w:top w:val="single" w:sz="8" w:space="0" w:color="5B5854"/>
              <w:left w:val="dashed" w:sz="6" w:space="0" w:color="D1D0CF"/>
              <w:righ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0" w:type="dxa"/>
            <w:tcBorders>
              <w:top w:val="single" w:sz="8" w:space="0" w:color="5B5854"/>
              <w:lef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8" w:hRule="atLeast"/>
        </w:trPr>
        <w:tc>
          <w:tcPr>
            <w:tcW w:w="557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2"/>
            <w:shd w:val="clear" w:color="auto" w:fill="4D683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257" w:hRule="atLeast"/>
        </w:trPr>
        <w:tc>
          <w:tcPr>
            <w:tcW w:w="557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left w:val="dashed" w:sz="6" w:space="0" w:color="D1D0CF"/>
              <w:bottom w:val="single" w:sz="8" w:space="0" w:color="5B5854"/>
              <w:righ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left w:val="dashed" w:sz="6" w:space="0" w:color="D1D0CF"/>
              <w:bottom w:val="single" w:sz="8" w:space="0" w:color="5B5854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9" w:hRule="atLeast"/>
        </w:trPr>
        <w:tc>
          <w:tcPr>
            <w:tcW w:w="557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79" w:lineRule="exact" w:before="55"/>
              <w:ind w:left="122"/>
              <w:rPr>
                <w:b/>
                <w:sz w:val="28"/>
              </w:rPr>
            </w:pPr>
            <w:r>
              <w:rPr>
                <w:b/>
                <w:color w:val="444444"/>
                <w:spacing w:val="-1"/>
                <w:sz w:val="28"/>
              </w:rPr>
              <w:t>舉辦裁判、教練證照講習會</w:t>
            </w:r>
          </w:p>
        </w:tc>
        <w:tc>
          <w:tcPr>
            <w:tcW w:w="1732" w:type="dxa"/>
            <w:tcBorders>
              <w:top w:val="single" w:sz="8" w:space="0" w:color="5B5854"/>
              <w:left w:val="dashed" w:sz="6" w:space="0" w:color="D1D0CF"/>
              <w:righ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0" w:type="dxa"/>
            <w:tcBorders>
              <w:top w:val="single" w:sz="8" w:space="0" w:color="5B5854"/>
              <w:lef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84" w:hRule="atLeast"/>
        </w:trPr>
        <w:tc>
          <w:tcPr>
            <w:tcW w:w="557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2"/>
            <w:tcBorders>
              <w:bottom w:val="single" w:sz="48" w:space="0" w:color="F4F9EE"/>
            </w:tcBorders>
            <w:shd w:val="clear" w:color="auto" w:fill="4D683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15" w:hRule="atLeast"/>
        </w:trPr>
        <w:tc>
          <w:tcPr>
            <w:tcW w:w="557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130"/>
              <w:rPr>
                <w:b/>
                <w:sz w:val="28"/>
              </w:rPr>
            </w:pPr>
            <w:r>
              <w:rPr>
                <w:b/>
                <w:color w:val="444444"/>
                <w:spacing w:val="-1"/>
                <w:sz w:val="28"/>
              </w:rPr>
              <w:t>會計制度及財務稽核管理機制</w:t>
            </w:r>
          </w:p>
        </w:tc>
        <w:tc>
          <w:tcPr>
            <w:tcW w:w="1732" w:type="dxa"/>
            <w:tcBorders>
              <w:top w:val="single" w:sz="48" w:space="0" w:color="F4F9EE"/>
              <w:left w:val="dashed" w:sz="6" w:space="0" w:color="D1D0CF"/>
              <w:righ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0" w:type="dxa"/>
            <w:vMerge w:val="restart"/>
            <w:tcBorders>
              <w:top w:val="single" w:sz="48" w:space="0" w:color="F4F9EE"/>
              <w:left w:val="dashed" w:sz="6" w:space="0" w:color="D1D0CF"/>
              <w:bottom w:val="single" w:sz="8" w:space="0" w:color="5B585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8" w:hRule="atLeast"/>
        </w:trPr>
        <w:tc>
          <w:tcPr>
            <w:tcW w:w="557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right w:val="dashed" w:sz="6" w:space="0" w:color="D1D0CF"/>
            </w:tcBorders>
            <w:shd w:val="clear" w:color="auto" w:fill="4D683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0" w:type="dxa"/>
            <w:vMerge/>
            <w:tcBorders>
              <w:top w:val="nil"/>
              <w:left w:val="dashed" w:sz="6" w:space="0" w:color="D1D0CF"/>
              <w:bottom w:val="single" w:sz="8" w:space="0" w:color="5B585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" w:hRule="atLeast"/>
        </w:trPr>
        <w:tc>
          <w:tcPr>
            <w:tcW w:w="557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left w:val="dashed" w:sz="6" w:space="0" w:color="D1D0CF"/>
              <w:bottom w:val="single" w:sz="8" w:space="0" w:color="5B5854"/>
              <w:righ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dashed" w:sz="6" w:space="0" w:color="D1D0CF"/>
              <w:bottom w:val="single" w:sz="8" w:space="0" w:color="5B585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" w:hRule="atLeast"/>
        </w:trPr>
        <w:tc>
          <w:tcPr>
            <w:tcW w:w="557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30"/>
              <w:rPr>
                <w:b/>
                <w:sz w:val="28"/>
              </w:rPr>
            </w:pPr>
            <w:r>
              <w:rPr>
                <w:b/>
                <w:color w:val="444444"/>
                <w:spacing w:val="-1"/>
                <w:sz w:val="28"/>
              </w:rPr>
              <w:t>落實國家代表隊之培訓、遴選及參賽</w:t>
            </w:r>
          </w:p>
        </w:tc>
        <w:tc>
          <w:tcPr>
            <w:tcW w:w="1732" w:type="dxa"/>
            <w:tcBorders>
              <w:top w:val="single" w:sz="8" w:space="0" w:color="5B5854"/>
              <w:left w:val="dashed" w:sz="6" w:space="0" w:color="D1D0CF"/>
              <w:righ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0" w:type="dxa"/>
            <w:tcBorders>
              <w:top w:val="single" w:sz="8" w:space="0" w:color="5B5854"/>
              <w:lef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88" w:hRule="atLeast"/>
        </w:trPr>
        <w:tc>
          <w:tcPr>
            <w:tcW w:w="557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2"/>
            <w:shd w:val="clear" w:color="auto" w:fill="4D683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7" w:hRule="atLeast"/>
        </w:trPr>
        <w:tc>
          <w:tcPr>
            <w:tcW w:w="557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left w:val="dashed" w:sz="6" w:space="0" w:color="D1D0CF"/>
              <w:bottom w:val="single" w:sz="8" w:space="0" w:color="5B5854"/>
              <w:righ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30" w:type="dxa"/>
            <w:tcBorders>
              <w:left w:val="dashed" w:sz="6" w:space="0" w:color="D1D0CF"/>
              <w:bottom w:val="single" w:sz="8" w:space="0" w:color="5B5854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5" w:hRule="atLeast"/>
        </w:trPr>
        <w:tc>
          <w:tcPr>
            <w:tcW w:w="557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22"/>
              <w:rPr>
                <w:b/>
                <w:sz w:val="28"/>
              </w:rPr>
            </w:pPr>
            <w:r>
              <w:rPr>
                <w:b/>
                <w:color w:val="444444"/>
                <w:spacing w:val="-1"/>
                <w:sz w:val="28"/>
              </w:rPr>
              <w:t>提供選⼿賽會後勤⽀援</w:t>
            </w:r>
          </w:p>
        </w:tc>
        <w:tc>
          <w:tcPr>
            <w:tcW w:w="1732" w:type="dxa"/>
            <w:tcBorders>
              <w:top w:val="single" w:sz="8" w:space="0" w:color="5B5854"/>
              <w:left w:val="dashed" w:sz="6" w:space="0" w:color="D1D0CF"/>
              <w:righ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0" w:type="dxa"/>
            <w:tcBorders>
              <w:top w:val="single" w:sz="8" w:space="0" w:color="5B5854"/>
              <w:lef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4" w:hRule="atLeast"/>
        </w:trPr>
        <w:tc>
          <w:tcPr>
            <w:tcW w:w="557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2"/>
            <w:tcBorders>
              <w:bottom w:val="single" w:sz="8" w:space="0" w:color="5B5854"/>
            </w:tcBorders>
            <w:shd w:val="clear" w:color="auto" w:fill="4D683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5" w:hRule="atLeast"/>
        </w:trPr>
        <w:tc>
          <w:tcPr>
            <w:tcW w:w="557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30"/>
              <w:rPr>
                <w:b/>
                <w:sz w:val="28"/>
              </w:rPr>
            </w:pPr>
            <w:r>
              <w:rPr>
                <w:b/>
                <w:color w:val="444444"/>
                <w:spacing w:val="-2"/>
                <w:sz w:val="28"/>
              </w:rPr>
              <w:t>洽談贊助與直播</w:t>
            </w:r>
          </w:p>
        </w:tc>
        <w:tc>
          <w:tcPr>
            <w:tcW w:w="1732" w:type="dxa"/>
            <w:tcBorders>
              <w:top w:val="single" w:sz="8" w:space="0" w:color="5B5854"/>
              <w:left w:val="dashed" w:sz="6" w:space="0" w:color="D1D0CF"/>
              <w:righ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0" w:type="dxa"/>
            <w:tcBorders>
              <w:top w:val="single" w:sz="8" w:space="0" w:color="5B5854"/>
              <w:lef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88" w:hRule="atLeast"/>
        </w:trPr>
        <w:tc>
          <w:tcPr>
            <w:tcW w:w="557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2"/>
            <w:shd w:val="clear" w:color="auto" w:fill="4D683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5" w:hRule="atLeast"/>
        </w:trPr>
        <w:tc>
          <w:tcPr>
            <w:tcW w:w="557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left w:val="dashed" w:sz="6" w:space="0" w:color="D1D0CF"/>
              <w:bottom w:val="single" w:sz="8" w:space="0" w:color="5B5854"/>
              <w:righ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30" w:type="dxa"/>
            <w:tcBorders>
              <w:left w:val="dashed" w:sz="6" w:space="0" w:color="D1D0CF"/>
              <w:bottom w:val="single" w:sz="8" w:space="0" w:color="5B5854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5572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before="55"/>
              <w:ind w:left="130"/>
              <w:rPr>
                <w:b/>
                <w:sz w:val="28"/>
              </w:rPr>
            </w:pPr>
            <w:r>
              <w:rPr>
                <w:b/>
                <w:color w:val="444444"/>
                <w:spacing w:val="-1"/>
                <w:sz w:val="28"/>
              </w:rPr>
              <w:t>與球館、業者洽談建⽴符合法規設⽴機制</w:t>
            </w:r>
          </w:p>
        </w:tc>
        <w:tc>
          <w:tcPr>
            <w:tcW w:w="1732" w:type="dxa"/>
            <w:tcBorders>
              <w:top w:val="single" w:sz="8" w:space="0" w:color="5B5854"/>
              <w:left w:val="dashed" w:sz="6" w:space="0" w:color="D1D0CF"/>
              <w:righ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0" w:type="dxa"/>
            <w:tcBorders>
              <w:top w:val="single" w:sz="8" w:space="0" w:color="5B5854"/>
              <w:left w:val="dashed" w:sz="6" w:space="0" w:color="D1D0CF"/>
            </w:tcBorders>
            <w:shd w:val="clear" w:color="auto" w:fill="F4F9EE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4" w:hRule="atLeast"/>
        </w:trPr>
        <w:tc>
          <w:tcPr>
            <w:tcW w:w="5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2"/>
            <w:tcBorders>
              <w:left w:val="dashed" w:sz="6" w:space="0" w:color="D1D0CF"/>
              <w:bottom w:val="single" w:sz="8" w:space="0" w:color="5B5854"/>
            </w:tcBorders>
          </w:tcPr>
          <w:p>
            <w:pPr>
              <w:pStyle w:val="TableParagraph"/>
              <w:ind w:left="-6" w:right="-87"/>
              <w:rPr>
                <w:sz w:val="20"/>
              </w:rPr>
            </w:pPr>
            <w:r>
              <w:rPr>
                <w:sz w:val="20"/>
              </w:rPr>
              <w:pict>
                <v:group style="width:173.5pt;height:27.25pt;mso-position-horizontal-relative:char;mso-position-vertical-relative:line" id="docshapegroup3" coordorigin="0,0" coordsize="3470,545">
                  <v:shape style="position:absolute;left:7;top:408;width:3439;height:126" id="docshape4" coordorigin="8,409" coordsize="3439,126" path="m3446,409l1740,409,8,409,8,534,1740,534,3446,534,3446,409xe" filled="true" fillcolor="#f4f9ee" stroked="false">
                    <v:path arrowok="t"/>
                    <v:fill type="solid"/>
                  </v:shape>
                  <v:line style="position:absolute" from="1740,409" to="1740,544" stroked="true" strokeweight=".75pt" strokecolor="#d1d0cf">
                    <v:stroke dashstyle="dash"/>
                  </v:line>
                  <v:rect style="position:absolute;left:0;top:0;width:3470;height:409" id="docshape5" filled="true" fillcolor="#4d683d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</w:tr>
    </w:tbl>
    <w:sectPr>
      <w:pgSz w:w="11900" w:h="16840"/>
      <w:pgMar w:header="0" w:footer="800" w:top="1360" w:bottom="100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YaHei">
    <w:altName w:val="Microsoft YaHei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91.000061pt;width:82pt;height:16pt;mso-position-horizontal-relative:page;mso-position-vertical-relative:page;z-index:-15857664" type="#_x0000_t202" id="docshape1" filled="false" stroked="false">
          <v:textbox inset="0,0,0,0">
            <w:txbxContent>
              <w:p>
                <w:pPr>
                  <w:spacing w:line="32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中華民國撞球總會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pt;margin-top:793.55957pt;width:12pt;height:13.45pt;mso-position-horizontal-relative:page;mso-position-vertical-relative:page;z-index:-15857152" type="#_x0000_t202" id="docshape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491" w:hanging="3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32"/>
        <w:szCs w:val="3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76" w:hanging="39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252" w:hanging="39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128" w:hanging="39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004" w:hanging="39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880" w:hanging="39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756" w:hanging="39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632" w:hanging="39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508" w:hanging="392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1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73737"/>
        <w:w w:val="100"/>
        <w:sz w:val="30"/>
        <w:szCs w:val="3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32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124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016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908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800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692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584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476" w:hanging="241"/>
      </w:pPr>
      <w:rPr>
        <w:rFonts w:hint="default"/>
        <w:lang w:val="en-US" w:eastAsia="zh-TW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YaHei" w:hAnsi="Microsoft YaHei" w:eastAsia="Microsoft YaHei" w:cs="Microsoft YaHei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Microsoft YaHei" w:hAnsi="Microsoft YaHei" w:eastAsia="Microsoft YaHei" w:cs="Microsoft YaHei"/>
      <w:sz w:val="32"/>
      <w:szCs w:val="32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before="90"/>
      <w:ind w:left="3650"/>
      <w:outlineLvl w:val="1"/>
    </w:pPr>
    <w:rPr>
      <w:rFonts w:ascii="Microsoft YaHei" w:hAnsi="Microsoft YaHei" w:eastAsia="Microsoft YaHei" w:cs="Microsoft YaHei"/>
      <w:b/>
      <w:bCs/>
      <w:sz w:val="32"/>
      <w:szCs w:val="3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1842" w:lineRule="exact"/>
      <w:ind w:left="100"/>
    </w:pPr>
    <w:rPr>
      <w:rFonts w:ascii="Microsoft YaHei" w:hAnsi="Microsoft YaHei" w:eastAsia="Microsoft YaHei" w:cs="Microsoft YaHei"/>
      <w:sz w:val="110"/>
      <w:szCs w:val="110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line="440" w:lineRule="exact"/>
      <w:ind w:left="341" w:hanging="241"/>
    </w:pPr>
    <w:rPr>
      <w:rFonts w:ascii="Microsoft YaHei" w:hAnsi="Microsoft YaHei" w:eastAsia="Microsoft YaHei" w:cs="Microsoft YaHei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YaHei" w:hAnsi="Microsoft YaHei" w:eastAsia="Microsoft YaHei" w:cs="Microsoft YaHei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2022中長程計畫</dc:title>
  <dcterms:created xsi:type="dcterms:W3CDTF">2022-12-28T01:56:58Z</dcterms:created>
  <dcterms:modified xsi:type="dcterms:W3CDTF">2022-12-28T01:56:58Z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Pages</vt:lpwstr>
  </property>
  <property fmtid="{D5CDD505-2E9C-101B-9397-08002B2CF9AE}" pid="4" name="LastSaved">
    <vt:filetime>2022-12-28T00:00:00Z</vt:filetime>
  </property>
  <property fmtid="{D5CDD505-2E9C-101B-9397-08002B2CF9AE}" pid="5" name="Producer">
    <vt:lpwstr>macOS 版本12.4（版號21F79） Quartz PDFContext</vt:lpwstr>
  </property>
</Properties>
</file>